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CE" w:rsidRPr="00E46CCE" w:rsidRDefault="00E46CCE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</w:t>
      </w:r>
    </w:p>
    <w:p w:rsidR="00E46CCE" w:rsidRPr="00E46CCE" w:rsidRDefault="00E46CCE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подготовки </w:t>
      </w:r>
      <w:bookmarkStart w:id="3" w:name="_Hlk136507242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:rsidR="00E46CCE" w:rsidRDefault="00E46CCE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C07147" w:rsidRPr="00E46CCE" w:rsidRDefault="00C07147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46CCE" w:rsidRDefault="00E46CCE" w:rsidP="00E46CCE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5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:rsidR="00E46CCE" w:rsidRDefault="00E46CCE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:rsidR="00E46CCE" w:rsidRDefault="00E46CCE" w:rsidP="00E46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E46CCE" w:rsidRDefault="00E46CCE" w:rsidP="00E46CCE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учебной дисциплины </w:t>
      </w:r>
      <w:r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Calibri" w:hAnsi="Times New Roman" w:cs="Times New Roman"/>
          <w:bCs/>
          <w:i/>
          <w:color w:val="000000"/>
          <w:kern w:val="3"/>
          <w:sz w:val="26"/>
          <w:szCs w:val="26"/>
          <w:lang w:eastAsia="zh-CN"/>
        </w:rPr>
        <w:t>Распознавание опасности, создаваемой ОГ»</w:t>
      </w:r>
      <w:r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 являющаяся частью Программы разработана с целью формирования (повышения) у слушателей профессиональных </w:t>
      </w:r>
      <w:r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ФАП. </w:t>
      </w:r>
    </w:p>
    <w:p w:rsidR="00E46CCE" w:rsidRDefault="00E46CCE" w:rsidP="00E46CCE">
      <w:pPr>
        <w:widowControl w:val="0"/>
        <w:suppressAutoHyphens/>
        <w:autoSpaceDN w:val="0"/>
        <w:spacing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E46CCE" w:rsidRDefault="00E46CCE" w:rsidP="00E46CCE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результате изучения учебных материалов данной рабочей программы слушатель должен:</w:t>
      </w:r>
    </w:p>
    <w:tbl>
      <w:tblPr>
        <w:tblStyle w:val="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367"/>
      </w:tblGrid>
      <w:tr w:rsidR="00E46CCE" w:rsidTr="00B23E8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CE" w:rsidRDefault="00E46CCE" w:rsidP="00B23E80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ОГ.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  <w:t xml:space="preserve">Виды опасности и сопутствующие им риски для различных классов ОГ. 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ОГ.  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в багаже, почте, в качестве груза.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Общие правила нанесения знаков опасности ОГ, маркировки грузовых мест с ОГ, содержание и назначение маркировки грузовых мест с ОГ.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ОГ.</w:t>
            </w:r>
          </w:p>
          <w:p w:rsidR="00E46CCE" w:rsidRDefault="00E46CCE" w:rsidP="00B23E80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опасности.</w:t>
            </w:r>
          </w:p>
        </w:tc>
      </w:tr>
      <w:tr w:rsidR="00E46CCE" w:rsidTr="00B23E8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CE" w:rsidRDefault="00E46CCE" w:rsidP="00B23E80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CCE" w:rsidRDefault="00E46CCE" w:rsidP="00B23E80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Распознавать опасность, создаваемую (представляемую) ОГ.</w:t>
            </w:r>
          </w:p>
          <w:p w:rsidR="00E46CCE" w:rsidRDefault="00E46CCE" w:rsidP="00B23E80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внешние признаки, указывающие на возможное наличие незадекларированных ОГ/скрытых ОГ.</w:t>
            </w:r>
          </w:p>
          <w:p w:rsidR="00E46CCE" w:rsidRDefault="00E46CCE" w:rsidP="00B23E80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Понимать содержание маркировки грузовых мест с ОГ. </w:t>
            </w:r>
          </w:p>
          <w:p w:rsidR="00E46CCE" w:rsidRDefault="00E46CCE" w:rsidP="00B23E80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p w:rsidR="00E46CCE" w:rsidRDefault="00E46CCE" w:rsidP="00E46CC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46CCE" w:rsidRDefault="00E46CCE" w:rsidP="00E46CC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1.3. Структура и содержание рабочей программы учебной дисциплины </w:t>
      </w:r>
    </w:p>
    <w:tbl>
      <w:tblPr>
        <w:tblpPr w:leftFromText="181" w:rightFromText="181" w:vertAnchor="text" w:horzAnchor="margin" w:tblpY="6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616"/>
        <w:gridCol w:w="1469"/>
        <w:gridCol w:w="1246"/>
        <w:gridCol w:w="869"/>
      </w:tblGrid>
      <w:tr w:rsidR="00E46CCE" w:rsidRPr="005E6C42" w:rsidTr="00B23E80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5E6C42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Default="00E46CCE" w:rsidP="00B23E80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E46CCE" w:rsidRPr="005E6C42" w:rsidRDefault="00E46CCE" w:rsidP="00B23E80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E46CCE" w:rsidRPr="005E6C42" w:rsidTr="00B23E80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E46CCE" w:rsidRPr="005E6C42" w:rsidRDefault="00E46CCE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6CCE" w:rsidRPr="005E6C42" w:rsidTr="00B23E80">
        <w:trPr>
          <w:cantSplit/>
          <w:trHeight w:val="3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  <w:r w:rsidR="00C80A6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  <w:r w:rsidR="00C80A6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="00C80A67" w:rsidRPr="00C80A6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 w:rsidR="00C80A6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</w:tr>
      <w:tr w:rsidR="00E46CCE" w:rsidRPr="005E6C42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Общее представление о классах и подклассах ОГ. </w:t>
            </w: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C80A6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C80A6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E46CCE" w:rsidRPr="005E6C42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C80A6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C80A67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</w:t>
            </w:r>
            <w:bookmarkStart w:id="5" w:name="_GoBack"/>
            <w:bookmarkEnd w:id="5"/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C80A67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E46CCE" w:rsidRPr="005E6C42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C80A6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 w:rsidR="00C80A6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C80A6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C80A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E46CCE" w:rsidRPr="005E6C42" w:rsidTr="00B23E80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E46CCE" w:rsidRPr="005E6C42" w:rsidRDefault="00E46CCE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CE" w:rsidRPr="005E6C42" w:rsidRDefault="00E46CCE" w:rsidP="00E46CCE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CE"/>
    <w:rsid w:val="00C07147"/>
    <w:rsid w:val="00C80A67"/>
    <w:rsid w:val="00D07777"/>
    <w:rsid w:val="00E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E9C"/>
  <w15:chartTrackingRefBased/>
  <w15:docId w15:val="{BD7F7BB6-1A02-4A58-8559-760EBFA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6CC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uiPriority w:val="39"/>
    <w:rsid w:val="00E46CCE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3</cp:revision>
  <dcterms:created xsi:type="dcterms:W3CDTF">2025-07-13T12:33:00Z</dcterms:created>
  <dcterms:modified xsi:type="dcterms:W3CDTF">2025-07-13T14:25:00Z</dcterms:modified>
</cp:coreProperties>
</file>